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ROSAC0098ZPB</w:t>
      </w:r>
    </w:p>
    <w:p w:rsidR="00000000" w:rsidDel="00000000" w:rsidP="00000000" w:rsidRDefault="00000000" w:rsidRPr="00000000" w14:paraId="00000006">
      <w:pPr>
        <w:rPr>
          <w:sz w:val="22"/>
          <w:szCs w:val="22"/>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 Lacul Pețea</w:t>
      </w:r>
    </w:p>
    <w:p w:rsidR="00000000" w:rsidDel="00000000" w:rsidP="00000000" w:rsidRDefault="00000000" w:rsidRPr="00000000" w14:paraId="00000009">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rPr>
          <w:sz w:val="22"/>
          <w:szCs w:val="22"/>
        </w:rPr>
      </w:pPr>
      <w:sdt>
        <w:sdtPr>
          <w:id w:val="-97326553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B">
      <w:pPr>
        <w:rPr>
          <w:sz w:val="22"/>
          <w:szCs w:val="22"/>
        </w:rPr>
      </w:pPr>
      <w:sdt>
        <w:sdtPr>
          <w:id w:val="-1424751587"/>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C">
      <w:pPr>
        <w:rPr>
          <w:sz w:val="22"/>
          <w:szCs w:val="22"/>
        </w:rPr>
      </w:pPr>
      <w:sdt>
        <w:sdtPr>
          <w:id w:val="-188632103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C">
            <w:pPr>
              <w:rPr>
                <w:sz w:val="22"/>
                <w:szCs w:val="22"/>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sz w:val="22"/>
                      <w:szCs w:val="22"/>
                    </w:rPr>
                  </w:pPr>
                  <w:r w:rsidDel="00000000" w:rsidR="00000000" w:rsidRPr="00000000">
                    <w:rPr>
                      <w:rtl w:val="0"/>
                    </w:rPr>
                  </w:r>
                </w:p>
              </w:tc>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A">
            <w:pPr>
              <w:rPr>
                <w:sz w:val="22"/>
                <w:szCs w:val="22"/>
              </w:rPr>
            </w:pPr>
            <w:r w:rsidDel="00000000" w:rsidR="00000000" w:rsidRPr="00000000">
              <w:rPr>
                <w:rtl w:val="0"/>
              </w:rPr>
            </w:r>
          </w:p>
        </w:tc>
      </w:tr>
    </w:tbl>
    <w:p w:rsidR="00000000" w:rsidDel="00000000" w:rsidP="00000000" w:rsidRDefault="00000000" w:rsidRPr="00000000" w14:paraId="0000002B">
      <w:pPr>
        <w:rPr>
          <w:sz w:val="22"/>
          <w:szCs w:val="22"/>
        </w:rPr>
      </w:pPr>
      <w:r w:rsidDel="00000000" w:rsidR="00000000" w:rsidRPr="00000000">
        <w:rPr>
          <w:rtl w:val="0"/>
        </w:rPr>
      </w:r>
    </w:p>
    <w:p w:rsidR="00000000" w:rsidDel="00000000" w:rsidP="00000000" w:rsidRDefault="00000000" w:rsidRPr="00000000" w14:paraId="0000002C">
      <w:pPr>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b w:val="1"/>
          <w:bCs w:val="1"/>
          <w:sz w:val="22"/>
          <w:szCs w:val="22"/>
        </w:rPr>
      </w:pP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E">
            <w:pPr>
              <w:rPr>
                <w:sz w:val="22"/>
                <w:szCs w:val="22"/>
              </w:rPr>
            </w:pPr>
            <w:r w:rsidDel="00000000" w:rsidR="00000000" w:rsidRPr="00000000">
              <w:rPr>
                <w:rtl w:val="0"/>
              </w:rPr>
            </w:r>
          </w:p>
        </w:tc>
      </w:tr>
    </w:tbl>
    <w:p w:rsidR="00000000" w:rsidDel="00000000" w:rsidP="00000000" w:rsidRDefault="00000000" w:rsidRPr="00000000" w14:paraId="0000003F">
      <w:pPr>
        <w:rPr>
          <w:sz w:val="22"/>
          <w:szCs w:val="22"/>
        </w:rPr>
      </w:pPr>
      <w:r w:rsidDel="00000000" w:rsidR="00000000" w:rsidRPr="00000000">
        <w:rPr>
          <w:rtl w:val="0"/>
        </w:rPr>
      </w:r>
    </w:p>
    <w:p w:rsidR="00000000" w:rsidDel="00000000" w:rsidP="00000000" w:rsidRDefault="00000000" w:rsidRPr="00000000" w14:paraId="00000040">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0,62</w:t>
      </w:r>
    </w:p>
    <w:p w:rsidR="00000000" w:rsidDel="00000000" w:rsidP="00000000" w:rsidRDefault="00000000" w:rsidRPr="00000000" w14:paraId="00000047">
      <w:pPr>
        <w:rPr>
          <w:sz w:val="22"/>
          <w:szCs w:val="22"/>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2,68%</w:t>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A">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B">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C">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sz w:val="22"/>
                <w:szCs w:val="22"/>
              </w:rPr>
            </w:pPr>
            <w:r w:rsidDel="00000000" w:rsidR="00000000" w:rsidRPr="00000000">
              <w:rPr>
                <w:sz w:val="22"/>
                <w:szCs w:val="22"/>
                <w:rtl w:val="0"/>
              </w:rPr>
              <w:t xml:space="preserve">RO11</w:t>
            </w:r>
          </w:p>
        </w:tc>
        <w:tc>
          <w:tcPr/>
          <w:p w:rsidR="00000000" w:rsidDel="00000000" w:rsidP="00000000" w:rsidRDefault="00000000" w:rsidRPr="00000000" w14:paraId="0000004E">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sidDel="00000000" w:rsidR="00000000" w:rsidRPr="00000000">
              <w:rPr>
                <w:sz w:val="22"/>
                <w:szCs w:val="22"/>
                <w:rtl w:val="0"/>
              </w:rPr>
              <w:t xml:space="preserve">Nord-Vest</w:t>
            </w:r>
          </w:p>
        </w:tc>
      </w:tr>
    </w:tbl>
    <w:p w:rsidR="00000000" w:rsidDel="00000000" w:rsidP="00000000" w:rsidRDefault="00000000" w:rsidRPr="00000000" w14:paraId="00000050">
      <w:pPr>
        <w:rPr>
          <w:sz w:val="22"/>
          <w:szCs w:val="22"/>
        </w:rPr>
      </w:pPr>
      <w:r w:rsidDel="00000000" w:rsidR="00000000" w:rsidRPr="00000000">
        <w:rPr>
          <w:rtl w:val="0"/>
        </w:rPr>
      </w:r>
    </w:p>
    <w:p w:rsidR="00000000" w:rsidDel="00000000" w:rsidP="00000000" w:rsidRDefault="00000000" w:rsidRPr="00000000" w14:paraId="00000051">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2">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Bihor</w:t>
      </w:r>
    </w:p>
    <w:p w:rsidR="00000000" w:rsidDel="00000000" w:rsidP="00000000" w:rsidRDefault="00000000" w:rsidRPr="00000000" w14:paraId="00000053">
      <w:pPr>
        <w:rPr>
          <w:sz w:val="22"/>
          <w:szCs w:val="22"/>
        </w:rPr>
      </w:pPr>
      <w:r w:rsidDel="00000000" w:rsidR="00000000" w:rsidRPr="00000000">
        <w:rPr>
          <w:rtl w:val="0"/>
        </w:rPr>
      </w:r>
    </w:p>
    <w:p w:rsidR="00000000" w:rsidDel="00000000" w:rsidP="00000000" w:rsidRDefault="00000000" w:rsidRPr="00000000" w14:paraId="00000054">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5">
            <w:pPr>
              <w:rPr>
                <w:sz w:val="22"/>
                <w:szCs w:val="22"/>
              </w:rPr>
            </w:pPr>
            <w:sdt>
              <w:sdtPr>
                <w:id w:val="-194030369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w:t>
            </w:r>
          </w:p>
        </w:tc>
        <w:tc>
          <w:tcPr/>
          <w:p w:rsidR="00000000" w:rsidDel="00000000" w:rsidP="00000000" w:rsidRDefault="00000000" w:rsidRPr="00000000" w14:paraId="00000056">
            <w:pPr>
              <w:rPr>
                <w:sz w:val="22"/>
                <w:szCs w:val="22"/>
              </w:rPr>
            </w:pPr>
            <w:r w:rsidDel="00000000" w:rsidR="00000000" w:rsidRPr="00000000">
              <w:rPr>
                <w:rtl w:val="0"/>
              </w:rPr>
            </w:r>
          </w:p>
        </w:tc>
        <w:tc>
          <w:tcPr/>
          <w:p w:rsidR="00000000" w:rsidDel="00000000" w:rsidP="00000000" w:rsidRDefault="00000000" w:rsidRPr="00000000" w14:paraId="00000057">
            <w:pPr>
              <w:rPr>
                <w:sz w:val="22"/>
                <w:szCs w:val="22"/>
              </w:rPr>
            </w:pPr>
            <w:sdt>
              <w:sdtPr>
                <w:id w:val="-116932578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8">
            <w:pPr>
              <w:rPr>
                <w:sz w:val="22"/>
                <w:szCs w:val="22"/>
              </w:rPr>
            </w:pPr>
            <w:r w:rsidDel="00000000" w:rsidR="00000000" w:rsidRPr="00000000">
              <w:rPr>
                <w:rtl w:val="0"/>
              </w:rPr>
            </w:r>
          </w:p>
        </w:tc>
        <w:tc>
          <w:tcPr/>
          <w:p w:rsidR="00000000" w:rsidDel="00000000" w:rsidP="00000000" w:rsidRDefault="00000000" w:rsidRPr="00000000" w14:paraId="00000059">
            <w:pPr>
              <w:rPr>
                <w:sz w:val="22"/>
                <w:szCs w:val="22"/>
              </w:rPr>
            </w:pPr>
            <w:sdt>
              <w:sdtPr>
                <w:id w:val="-34102202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100%</w:t>
            </w:r>
          </w:p>
        </w:tc>
      </w:tr>
      <w:tr>
        <w:trPr>
          <w:cantSplit w:val="0"/>
          <w:tblHeader w:val="0"/>
        </w:trPr>
        <w:tc>
          <w:tcPr/>
          <w:p w:rsidR="00000000" w:rsidDel="00000000" w:rsidP="00000000" w:rsidRDefault="00000000" w:rsidRPr="00000000" w14:paraId="0000005A">
            <w:pPr>
              <w:rPr>
                <w:sz w:val="22"/>
                <w:szCs w:val="22"/>
              </w:rPr>
            </w:pPr>
            <w:sdt>
              <w:sdtPr>
                <w:id w:val="-353888448"/>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sdt>
              <w:sdtPr>
                <w:id w:val="138288035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D">
            <w:pPr>
              <w:rPr>
                <w:sz w:val="22"/>
                <w:szCs w:val="22"/>
              </w:rPr>
            </w:pPr>
            <w:r w:rsidDel="00000000" w:rsidR="00000000" w:rsidRPr="00000000">
              <w:rPr>
                <w:rtl w:val="0"/>
              </w:rPr>
            </w:r>
          </w:p>
        </w:tc>
        <w:tc>
          <w:tcPr/>
          <w:p w:rsidR="00000000" w:rsidDel="00000000" w:rsidP="00000000" w:rsidRDefault="00000000" w:rsidRPr="00000000" w14:paraId="0000005E">
            <w:pPr>
              <w:rPr>
                <w:sz w:val="22"/>
                <w:szCs w:val="22"/>
              </w:rPr>
            </w:pPr>
            <w:sdt>
              <w:sdtPr>
                <w:id w:val="141095880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F">
      <w:pPr>
        <w:rPr>
          <w:sz w:val="22"/>
          <w:szCs w:val="22"/>
        </w:rPr>
      </w:pPr>
      <w:r w:rsidDel="00000000" w:rsidR="00000000" w:rsidRPr="00000000">
        <w:rPr>
          <w:rtl w:val="0"/>
        </w:rPr>
      </w:r>
    </w:p>
    <w:p w:rsidR="00000000" w:rsidDel="00000000" w:rsidP="00000000" w:rsidRDefault="00000000" w:rsidRPr="00000000" w14:paraId="00000060">
      <w:pPr>
        <w:jc w:val="center"/>
        <w:rPr>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1">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1</w:t>
      </w:r>
    </w:p>
    <w:p w:rsidR="00000000" w:rsidDel="00000000" w:rsidP="00000000" w:rsidRDefault="00000000" w:rsidRPr="00000000" w14:paraId="00000063">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4">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ZPB1</w:t>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8">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0,62</w:t>
      </w:r>
    </w:p>
    <w:p w:rsidR="00000000" w:rsidDel="00000000" w:rsidP="00000000" w:rsidRDefault="00000000" w:rsidRPr="00000000" w14:paraId="0000006A">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Decizia Comitetului Executiv al Consiliului Popular Județean Bihor nr. 261/1971: Pârâul Pețea;</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RONPA0194 Pârâul Pețea;</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Ordinul ministrului mediului, apelor și pădurilor nr. 1167 din 23 august 2016 privind aprobarea Planului de management și a Regulamentului sitului de importanță comunitară ROSCI0098 Lacul Pețea;</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3951"/>
        <w:gridCol w:w="5013"/>
        <w:tblGridChange w:id="0">
          <w:tblGrid>
            <w:gridCol w:w="3951"/>
            <w:gridCol w:w="501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81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t xml:space="preserve">:</w:t>
            </w:r>
          </w:p>
          <w:p w:rsidR="00000000" w:rsidDel="00000000" w:rsidP="00000000" w:rsidRDefault="00000000" w:rsidRPr="00000000" w14:paraId="00000076">
            <w:pPr>
              <w:spacing w:after="0" w:lineRule="auto"/>
              <w:ind w:right="48"/>
              <w:rPr>
                <w:sz w:val="22"/>
                <w:szCs w:val="22"/>
              </w:rPr>
            </w:pPr>
            <w:r w:rsidDel="00000000" w:rsidR="00000000" w:rsidRPr="00000000">
              <w:rPr>
                <w:i w:val="1"/>
                <w:iCs w:val="1"/>
                <w:sz w:val="22"/>
                <w:szCs w:val="22"/>
                <w:rtl w:val="0"/>
              </w:rPr>
              <w:t xml:space="preserve">91Y0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40" w:lineRule="auto"/>
              <w:jc w:val="both"/>
              <w:rPr>
                <w:sz w:val="22"/>
                <w:szCs w:val="22"/>
              </w:rPr>
            </w:pPr>
            <w:r w:rsidDel="00000000" w:rsidR="00000000" w:rsidRPr="00000000">
              <w:rPr>
                <w:sz w:val="22"/>
                <w:szCs w:val="22"/>
                <w:rtl w:val="0"/>
              </w:rPr>
              <w:t xml:space="preserve">Habitatele forestiere desemnate ca ZPB susțin o diversitate biologică ridicată, asociată structurii arboretelor, prezenței arborilor bătrâni și a microhabitatelor forestiere care găzduiesc specii de plante, nevertebrate, păsări și mamifere de interes conservativ.</w:t>
            </w:r>
          </w:p>
          <w:p w:rsidR="00000000" w:rsidDel="00000000" w:rsidP="00000000" w:rsidRDefault="00000000" w:rsidRPr="00000000" w14:paraId="0000007C">
            <w:pPr>
              <w:spacing w:after="0" w:line="240" w:lineRule="auto"/>
              <w:jc w:val="both"/>
              <w:rPr>
                <w:sz w:val="22"/>
                <w:szCs w:val="22"/>
              </w:rPr>
            </w:pPr>
            <w:r w:rsidDel="00000000" w:rsidR="00000000" w:rsidRPr="00000000">
              <w:rPr>
                <w:sz w:val="22"/>
                <w:szCs w:val="22"/>
                <w:rtl w:val="0"/>
              </w:rPr>
              <w:t xml:space="preserve">Habitatele forestiere contribuie la stocarea carbonului și la reglarea climatului local.</w:t>
            </w:r>
          </w:p>
          <w:p w:rsidR="00000000" w:rsidDel="00000000" w:rsidP="00000000" w:rsidRDefault="00000000" w:rsidRPr="00000000" w14:paraId="0000007D">
            <w:pPr>
              <w:spacing w:after="0" w:line="240" w:lineRule="auto"/>
              <w:jc w:val="both"/>
              <w:rPr>
                <w:sz w:val="22"/>
                <w:szCs w:val="22"/>
              </w:rPr>
            </w:pPr>
            <w:r w:rsidDel="00000000" w:rsidR="00000000" w:rsidRPr="00000000">
              <w:rPr>
                <w:sz w:val="22"/>
                <w:szCs w:val="22"/>
                <w:rtl w:val="0"/>
              </w:rPr>
              <w:t xml:space="preserve">ZPB se suprapune cu o rezervație naturală, ceea ce stă la baza desemnării, alături de valoarea ecologică a ecosistemului în ansamblu.</w:t>
            </w:r>
          </w:p>
          <w:p w:rsidR="00000000" w:rsidDel="00000000" w:rsidP="00000000" w:rsidRDefault="00000000" w:rsidRPr="00000000" w14:paraId="0000007E">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7F">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incluse în rezervații naturale, precum și pe prezența speciilor de interes conservativ asociate.</w:t>
            </w:r>
          </w:p>
        </w:tc>
      </w:tr>
      <w:tr>
        <w:trPr>
          <w:cantSplit w:val="0"/>
          <w:trHeight w:val="336"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ind w:right="48"/>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84">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5">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86">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87">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88">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089">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08A">
            <w:pPr>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08B">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C">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8D">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8E">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8F">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0">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1">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92">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3">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4">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5">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96">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97">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98">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99">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9A">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9B">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9C">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9D">
            <w:pPr>
              <w:jc w:val="both"/>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9E">
            <w:pPr>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A1">
      <w:pP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Marossy A., 1976, Factorii antropici ce au modificat echilibrul ecologic al Rezervaţiei naturale "Pârâul Peţea". Nymphaea 4: 261-272.</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Tofan, T., 2003. Conspectul sistematic al florei vasculare din Rezervaţia naturală "Pârâul Peţea" - Băile 1 Mai, jud. Bihor. Nymphaea -Folia naturae Bihariae, Oradea. Vol. XXX: 85-Vicaş G., Mintaş O., Dalea A., 2013 Nymphea lotus var. thermalis-present and Perspective, Natural Resources and Sustainable Development, p. 441 - 446.</w:t>
      </w:r>
    </w:p>
    <w:p w:rsidR="00000000" w:rsidDel="00000000" w:rsidP="00000000" w:rsidRDefault="00000000" w:rsidRPr="00000000" w14:paraId="000000A4">
      <w:pPr>
        <w:jc w:val="center"/>
        <w:rPr>
          <w:b w:val="1"/>
          <w:bCs w:val="1"/>
          <w:sz w:val="22"/>
          <w:szCs w:val="22"/>
        </w:rPr>
      </w:pPr>
      <w:r w:rsidDel="00000000" w:rsidR="00000000" w:rsidRPr="00000000">
        <w:rPr>
          <w:rtl w:val="0"/>
        </w:rPr>
      </w:r>
    </w:p>
    <w:p w:rsidR="00000000" w:rsidDel="00000000" w:rsidP="00000000" w:rsidRDefault="00000000" w:rsidRPr="00000000" w14:paraId="000000A5">
      <w:pPr>
        <w:jc w:val="center"/>
        <w:rPr>
          <w:sz w:val="22"/>
          <w:szCs w:val="22"/>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pBdr>
        <w:spacing w:after="240" w:before="240" w:lineRule="auto"/>
        <w:jc w:val="both"/>
        <w:rPr>
          <w:sz w:val="22"/>
          <w:szCs w:val="22"/>
        </w:rPr>
      </w:pPr>
      <w:r w:rsidDel="00000000" w:rsidR="00000000" w:rsidRPr="00000000">
        <w:rPr>
          <w:sz w:val="22"/>
          <w:szCs w:val="22"/>
          <w:rtl w:val="0"/>
        </w:rPr>
        <w:t xml:space="preserve">Consultările publice au fost realizate la:19 septembrie 2024 – Oradea, jud. Bihor. Ulterior, în cadrul procesului de consultare extins la nivel național, au avut loc consultări suplimentare online, în data de 29 ianuarie 2026 urmată de consultare publică la Prefectura Bihor, cu participarea factorilor interesați relevanți din județul Bihor.</w:t>
      </w:r>
    </w:p>
    <w:p w:rsidR="00000000" w:rsidDel="00000000" w:rsidP="00000000" w:rsidRDefault="00000000" w:rsidRPr="00000000" w14:paraId="000000A7">
      <w:pPr>
        <w:rPr>
          <w:sz w:val="22"/>
          <w:szCs w:val="22"/>
        </w:rPr>
      </w:pPr>
      <w:r w:rsidDel="00000000" w:rsidR="00000000" w:rsidRPr="00000000">
        <w:rPr>
          <w:rtl w:val="0"/>
        </w:rPr>
      </w:r>
    </w:p>
    <w:p w:rsidR="00000000" w:rsidDel="00000000" w:rsidP="00000000" w:rsidRDefault="00000000" w:rsidRPr="00000000" w14:paraId="000000A8">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9">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A">
      <w:pPr>
        <w:rPr>
          <w:sz w:val="22"/>
          <w:szCs w:val="22"/>
          <w:u w:val="single"/>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IN2rx7Rq/hNvcUozIMdtrIFtU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tYaDdMOEl0dGJ0TGZlYzl4WW5aLVFCRVdDaGt2ZUx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